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both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</w:pPr>
      <w:r>
        <w:rPr>
          <w:rFonts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（201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rPr>
          <w:rFonts w:eastAsiaTheme="minorEastAsia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eastAsiaTheme="minorEastAsia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hint="eastAsia" w:eastAsiaTheme="minorEastAsia"/>
          <w:kern w:val="0"/>
          <w:sz w:val="30"/>
          <w:szCs w:val="30"/>
        </w:rPr>
      </w:pP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塔什库尔干县乡镇干部周转宿舍建设项目</w:t>
      </w:r>
    </w:p>
    <w:p>
      <w:pPr>
        <w:pStyle w:val="48"/>
        <w:spacing w:line="700" w:lineRule="exact"/>
        <w:ind w:firstLine="720" w:firstLineChars="200"/>
        <w:jc w:val="left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实施单位（公章）：中共塔什库尔干塔吉克自治县委员会组织部</w:t>
      </w:r>
    </w:p>
    <w:p>
      <w:pPr>
        <w:pStyle w:val="48"/>
        <w:spacing w:line="700" w:lineRule="exact"/>
        <w:ind w:firstLine="720" w:firstLineChars="200"/>
        <w:jc w:val="left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主管部门（公章）：中共塔什库尔干塔吉克自治县委员会</w:t>
      </w:r>
    </w:p>
    <w:p>
      <w:pPr>
        <w:pStyle w:val="48"/>
        <w:spacing w:line="700" w:lineRule="exact"/>
        <w:ind w:firstLine="720" w:firstLineChars="200"/>
        <w:jc w:val="left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项目负责人（签章）：刘鹏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12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31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40" w:lineRule="exact"/>
        <w:ind w:firstLine="640"/>
        <w:rPr>
          <w:rStyle w:val="18"/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我部编制人数26人，其中：行政人员编制9人，参照公务员管理的事业单位人员编制10人，全额拨款事业单位人员编制6人，包括</w:t>
      </w:r>
      <w:r>
        <w:rPr>
          <w:rFonts w:hint="eastAsia" w:ascii="仿宋" w:hAnsi="仿宋" w:eastAsia="仿宋"/>
          <w:sz w:val="32"/>
          <w:szCs w:val="32"/>
        </w:rPr>
        <w:t>办公室、人才援疆办、干部科、基层办、干训科、干监科、组织科等部门。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spacing w:line="540" w:lineRule="exact"/>
        <w:ind w:firstLine="640"/>
        <w:rPr>
          <w:rFonts w:ascii="仿宋" w:hAnsi="仿宋" w:eastAsia="仿宋" w:cs="Arial"/>
          <w:sz w:val="32"/>
          <w:szCs w:val="32"/>
        </w:rPr>
      </w:pPr>
      <w:bookmarkStart w:id="0" w:name="_Toc405279309"/>
      <w:r>
        <w:rPr>
          <w:rFonts w:hint="eastAsia" w:ascii="仿宋" w:hAnsi="仿宋" w:eastAsia="仿宋" w:cs="Arial"/>
          <w:sz w:val="32"/>
          <w:szCs w:val="32"/>
        </w:rPr>
        <w:t>塔什库尔干县乡镇干部周转宿舍建设项目，新建塔什库尔干镇干部周转宿舍48套，共两栋，每栋两层，建设总面积1741.86㎡，解决塔什库尔干镇干部住房问题。塔什库尔干县乡镇干部周转宿舍建设项目共</w:t>
      </w:r>
      <w:r>
        <w:rPr>
          <w:rFonts w:hint="eastAsia" w:ascii="仿宋" w:hAnsi="仿宋" w:eastAsia="仿宋" w:cs="Arial"/>
          <w:sz w:val="32"/>
          <w:szCs w:val="32"/>
          <w:lang w:val="en-US" w:eastAsia="zh-CN"/>
        </w:rPr>
        <w:t>305.02</w:t>
      </w:r>
      <w:r>
        <w:rPr>
          <w:rFonts w:hint="eastAsia" w:ascii="仿宋" w:hAnsi="仿宋" w:eastAsia="仿宋" w:cs="Arial"/>
          <w:sz w:val="32"/>
          <w:szCs w:val="32"/>
        </w:rPr>
        <w:t>万元，涉及受益塔什库尔干县全县干部。</w:t>
      </w:r>
    </w:p>
    <w:bookmarkEnd w:id="0"/>
    <w:p>
      <w:pPr>
        <w:tabs>
          <w:tab w:val="left" w:pos="6882"/>
        </w:tabs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该项目性质为新增项目。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  <w:lang w:eastAsia="zh-CN"/>
        </w:rPr>
        <w:t>本项目实施主要解决干部住宿问题，</w:t>
      </w:r>
      <w:r>
        <w:rPr>
          <w:rFonts w:hint="eastAsia" w:ascii="仿宋" w:hAnsi="仿宋" w:eastAsia="仿宋" w:cs="Arial"/>
          <w:sz w:val="32"/>
          <w:szCs w:val="32"/>
        </w:rPr>
        <w:t>塔什库尔干县乡镇干部周转宿舍建设项目经费共</w:t>
      </w:r>
      <w:r>
        <w:rPr>
          <w:rFonts w:hint="eastAsia" w:ascii="仿宋" w:hAnsi="仿宋" w:eastAsia="仿宋" w:cs="Arial"/>
          <w:sz w:val="32"/>
          <w:szCs w:val="32"/>
          <w:lang w:val="en-US" w:eastAsia="zh-CN"/>
        </w:rPr>
        <w:t>305.02</w:t>
      </w:r>
      <w:r>
        <w:rPr>
          <w:rFonts w:hint="eastAsia" w:ascii="仿宋" w:hAnsi="仿宋" w:eastAsia="仿宋" w:cs="Arial"/>
          <w:sz w:val="32"/>
          <w:szCs w:val="32"/>
        </w:rPr>
        <w:t>万元，</w:t>
      </w:r>
      <w:r>
        <w:rPr>
          <w:rFonts w:hint="eastAsia" w:ascii="仿宋" w:hAnsi="仿宋" w:eastAsia="仿宋" w:cs="Arial"/>
          <w:sz w:val="32"/>
          <w:szCs w:val="32"/>
          <w:lang w:eastAsia="zh-CN"/>
        </w:rPr>
        <w:t>主要</w:t>
      </w:r>
      <w:r>
        <w:rPr>
          <w:rFonts w:hint="eastAsia" w:ascii="仿宋" w:hAnsi="仿宋" w:eastAsia="仿宋" w:cs="Arial"/>
          <w:sz w:val="32"/>
          <w:szCs w:val="32"/>
        </w:rPr>
        <w:t>用于塔什库尔干镇干部周转宿舍的建设，</w:t>
      </w:r>
      <w:r>
        <w:rPr>
          <w:rFonts w:hint="eastAsia" w:ascii="仿宋" w:hAnsi="仿宋" w:eastAsia="仿宋" w:cs="Arial"/>
          <w:sz w:val="32"/>
          <w:szCs w:val="32"/>
          <w:lang w:eastAsia="zh-CN"/>
        </w:rPr>
        <w:t>共新建</w:t>
      </w:r>
      <w:r>
        <w:rPr>
          <w:rFonts w:hint="eastAsia" w:ascii="仿宋" w:hAnsi="仿宋" w:eastAsia="仿宋" w:cs="Arial"/>
          <w:sz w:val="32"/>
          <w:szCs w:val="32"/>
        </w:rPr>
        <w:t>两栋，每栋两层，48套，建设总面积1741.86㎡。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hAnsi="仿宋" w:eastAsia="仿宋"/>
          <w:color w:val="FF0000"/>
          <w:sz w:val="32"/>
          <w:szCs w:val="32"/>
        </w:rPr>
        <w:t xml:space="preserve"> </w:t>
      </w:r>
      <w:r>
        <w:rPr>
          <w:rFonts w:hint="eastAsia" w:ascii="仿宋" w:hAnsi="仿宋" w:eastAsia="仿宋" w:cs="Arial"/>
          <w:sz w:val="32"/>
          <w:szCs w:val="32"/>
        </w:rPr>
        <w:t>塔什库尔干县乡镇干部周转宿舍建设项目经费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预算安排总额为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305.02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万元，其中财政资金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305.02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万元，自筹资金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万元，2018年实际收到预算资金305.02万元。</w:t>
      </w:r>
      <w:bookmarkStart w:id="1" w:name="_GoBack"/>
      <w:bookmarkEnd w:id="1"/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640"/>
        <w:rPr>
          <w:rFonts w:ascii="仿宋" w:hAnsi="仿宋" w:eastAsia="仿宋" w:cs="Arial"/>
          <w:color w:val="000000" w:themeColor="text1"/>
          <w:sz w:val="32"/>
          <w:szCs w:val="32"/>
        </w:rPr>
      </w:pPr>
      <w:r>
        <w:rPr>
          <w:rFonts w:hint="eastAsia" w:ascii="仿宋" w:hAnsi="仿宋" w:eastAsia="仿宋" w:cs="Arial"/>
          <w:color w:val="000000" w:themeColor="text1"/>
          <w:sz w:val="32"/>
          <w:szCs w:val="32"/>
        </w:rPr>
        <w:t>本项目实际支付资</w:t>
      </w:r>
      <w:r>
        <w:rPr>
          <w:rFonts w:hint="eastAsia" w:ascii="仿宋" w:hAnsi="仿宋" w:eastAsia="仿宋" w:cs="Arial"/>
          <w:sz w:val="32"/>
          <w:szCs w:val="32"/>
        </w:rPr>
        <w:t>305.02万元，预算执行率50%。项目资金主要用于塔什库尔干镇干部周转宿舍的建设，经费支出305.02万元、没有用于其他支出</w:t>
      </w:r>
      <w:r>
        <w:rPr>
          <w:rFonts w:hint="eastAsia" w:ascii="仿宋" w:hAnsi="仿宋" w:eastAsia="仿宋" w:cs="Arial"/>
          <w:color w:val="000000" w:themeColor="text1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480" w:lineRule="atLeast"/>
        <w:ind w:firstLine="470" w:firstLineChars="147"/>
        <w:jc w:val="left"/>
        <w:rPr>
          <w:rFonts w:ascii="仿宋" w:hAnsi="仿宋" w:eastAsia="仿宋" w:cs="Arial"/>
          <w:color w:val="000000" w:themeColor="text1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项目支出符合地区关于这项资金用途的要求，下拨资金全部用于我县塔什库尔干镇干部周转宿舍的建设，</w:t>
      </w:r>
      <w:r>
        <w:rPr>
          <w:rFonts w:hint="eastAsia" w:ascii="仿宋" w:hAnsi="仿宋" w:eastAsia="仿宋" w:cs="Arial"/>
          <w:color w:val="000000" w:themeColor="text1"/>
          <w:sz w:val="32"/>
          <w:szCs w:val="32"/>
        </w:rPr>
        <w:t>资金的拨付有完整的审批程序和手续，自地区下拨该项资金以后，由县委组织部财务人员按照发放标准和程序拨付给施工方，此过程不存在截留、挤占、挪用等情况。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cs="Arial"/>
          <w:bCs/>
          <w:color w:val="000000" w:themeColor="text1"/>
        </w:rPr>
      </w:pPr>
      <w:r>
        <w:rPr>
          <w:rFonts w:hint="eastAsia" w:ascii="仿宋" w:hAnsi="仿宋" w:eastAsia="仿宋" w:cs="Arial"/>
          <w:color w:val="000000" w:themeColor="text1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40" w:firstLineChars="200"/>
        <w:rPr>
          <w:rFonts w:ascii="仿宋" w:hAnsi="仿宋" w:eastAsia="仿宋" w:cs="Arial"/>
          <w:color w:val="000000" w:themeColor="text1"/>
          <w:sz w:val="32"/>
          <w:szCs w:val="32"/>
        </w:rPr>
      </w:pPr>
      <w:r>
        <w:rPr>
          <w:rFonts w:hint="eastAsia" w:ascii="仿宋" w:hAnsi="仿宋" w:eastAsia="仿宋" w:cs="Arial"/>
          <w:color w:val="000000" w:themeColor="text1"/>
          <w:sz w:val="32"/>
          <w:szCs w:val="32"/>
        </w:rPr>
        <w:t>对该项目资金的管理及发放方式，是由我县发放实际及与各相关单位共同商议的结果，即由县委组织部发放至施工方，最后由县委组织部对发放结果进行调查，以确保该项资金的足额发放。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3</w:t>
      </w:r>
      <w:r>
        <w:rPr>
          <w:rFonts w:ascii="仿宋" w:hAnsi="仿宋" w:eastAsia="仿宋"/>
          <w:bCs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9</w:t>
      </w:r>
      <w:r>
        <w:rPr>
          <w:rFonts w:ascii="仿宋" w:hAnsi="仿宋" w:eastAsia="仿宋"/>
          <w:bCs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10</w:t>
      </w:r>
      <w:r>
        <w:rPr>
          <w:rFonts w:ascii="仿宋" w:hAnsi="仿宋" w:eastAsia="仿宋"/>
          <w:bCs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3</w:t>
      </w:r>
      <w:r>
        <w:rPr>
          <w:rFonts w:ascii="仿宋" w:hAnsi="仿宋" w:eastAsia="仿宋"/>
          <w:bCs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，指标完成率为50%。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经济性：塔什库尔干县乡镇干部周转宿舍建设项目每平方米造价</w:t>
      </w: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</w:rPr>
        <w:t>控制在合理范围内。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default" w:ascii="仿宋" w:hAnsi="仿宋" w:eastAsia="仿宋"/>
          <w:b w:val="0"/>
          <w:color w:val="FF0000"/>
          <w:spacing w:val="-4"/>
          <w:sz w:val="32"/>
          <w:szCs w:val="32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效率性</w:t>
      </w: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</w:rPr>
        <w:t>：本项目2018年6月18日开工，2018年10月20日完工，项目完工率</w:t>
      </w: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val="en-US" w:eastAsia="zh-CN"/>
        </w:rPr>
        <w:t>100%。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FF0000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效益性：有效解决塔什库尔干镇干部住宿问题</w:t>
      </w: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不存在未完成情况</w:t>
      </w:r>
      <w:r>
        <w:rPr>
          <w:rFonts w:ascii="仿宋" w:hAnsi="仿宋" w:eastAsia="仿宋"/>
          <w:spacing w:val="-4"/>
          <w:sz w:val="32"/>
          <w:szCs w:val="32"/>
        </w:rPr>
        <w:t>:</w:t>
      </w:r>
      <w:r>
        <w:rPr>
          <w:rFonts w:hint="eastAsia" w:ascii="仿宋" w:hAnsi="仿宋" w:eastAsia="仿宋"/>
          <w:spacing w:val="-4"/>
          <w:sz w:val="32"/>
          <w:szCs w:val="32"/>
        </w:rPr>
        <w:t>“2018年本项目绩效目标全部达成，不存在未完成原因分析。”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774" w:firstLineChars="242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2019年继续完成该项目的实施。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Arial"/>
          <w:color w:val="000000" w:themeColor="text1"/>
          <w:sz w:val="32"/>
          <w:szCs w:val="32"/>
        </w:rPr>
      </w:pPr>
      <w:r>
        <w:rPr>
          <w:rFonts w:hint="eastAsia" w:ascii="仿宋" w:hAnsi="仿宋" w:eastAsia="仿宋" w:cs="Arial"/>
          <w:color w:val="000000" w:themeColor="text1"/>
          <w:sz w:val="32"/>
          <w:szCs w:val="32"/>
        </w:rPr>
        <w:t>1、主要经验及做法：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Arial"/>
          <w:color w:val="000000" w:themeColor="text1"/>
          <w:sz w:val="32"/>
          <w:szCs w:val="32"/>
        </w:rPr>
      </w:pPr>
      <w:r>
        <w:rPr>
          <w:rFonts w:hint="eastAsia" w:ascii="仿宋" w:hAnsi="仿宋" w:eastAsia="仿宋" w:cs="Arial"/>
          <w:color w:val="000000" w:themeColor="text1"/>
          <w:sz w:val="32"/>
          <w:szCs w:val="32"/>
        </w:rPr>
        <w:t>在大额资金的发放过程中，一定要根据本地区的实际，提出适合本地区情况的具体发放措施。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Arial"/>
          <w:color w:val="000000" w:themeColor="text1"/>
          <w:sz w:val="32"/>
          <w:szCs w:val="32"/>
        </w:rPr>
      </w:pPr>
      <w:r>
        <w:rPr>
          <w:rFonts w:hint="eastAsia" w:ascii="仿宋" w:hAnsi="仿宋" w:eastAsia="仿宋" w:cs="Arial"/>
          <w:color w:val="000000" w:themeColor="text1"/>
          <w:sz w:val="32"/>
          <w:szCs w:val="32"/>
        </w:rPr>
        <w:t>存在的问题：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Arial"/>
          <w:color w:val="000000" w:themeColor="text1"/>
          <w:sz w:val="32"/>
          <w:szCs w:val="32"/>
        </w:rPr>
      </w:pPr>
      <w:r>
        <w:rPr>
          <w:rFonts w:hint="eastAsia" w:ascii="仿宋" w:hAnsi="仿宋" w:eastAsia="仿宋" w:cs="Arial"/>
          <w:color w:val="000000" w:themeColor="text1"/>
          <w:sz w:val="32"/>
          <w:szCs w:val="32"/>
        </w:rPr>
        <w:t>此次资金的发放，由于涉及到施工方，项目主管方不清楚工程进度，不清楚工程质量。</w:t>
      </w:r>
    </w:p>
    <w:p>
      <w:pPr>
        <w:numPr>
          <w:ilvl w:val="0"/>
          <w:numId w:val="1"/>
        </w:numPr>
        <w:spacing w:line="540" w:lineRule="exact"/>
        <w:ind w:left="0" w:leftChars="0" w:firstLine="640" w:firstLineChars="200"/>
        <w:rPr>
          <w:rFonts w:hint="eastAsia" w:ascii="仿宋" w:hAnsi="仿宋" w:eastAsia="仿宋" w:cs="Arial"/>
          <w:color w:val="000000" w:themeColor="text1"/>
          <w:sz w:val="32"/>
          <w:szCs w:val="32"/>
        </w:rPr>
      </w:pPr>
      <w:r>
        <w:rPr>
          <w:rFonts w:hint="eastAsia" w:ascii="仿宋" w:hAnsi="仿宋" w:eastAsia="仿宋" w:cs="Arial"/>
          <w:color w:val="000000" w:themeColor="text1"/>
          <w:sz w:val="32"/>
          <w:szCs w:val="32"/>
        </w:rPr>
        <w:t>建议：</w:t>
      </w:r>
    </w:p>
    <w:p>
      <w:pPr>
        <w:numPr>
          <w:ilvl w:val="0"/>
          <w:numId w:val="0"/>
        </w:numPr>
        <w:spacing w:line="540" w:lineRule="exact"/>
        <w:ind w:leftChars="200" w:firstLine="640" w:firstLineChars="200"/>
        <w:rPr>
          <w:rFonts w:ascii="仿宋" w:hAnsi="仿宋" w:eastAsia="仿宋" w:cs="Arial"/>
          <w:color w:val="000000" w:themeColor="text1"/>
          <w:sz w:val="32"/>
          <w:szCs w:val="32"/>
        </w:rPr>
      </w:pPr>
      <w:r>
        <w:rPr>
          <w:rFonts w:hint="eastAsia" w:ascii="仿宋" w:hAnsi="仿宋" w:eastAsia="仿宋" w:cs="Arial"/>
          <w:color w:val="000000" w:themeColor="text1"/>
          <w:sz w:val="32"/>
          <w:szCs w:val="32"/>
        </w:rPr>
        <w:t>经过各方商议，结合本地区实际，提出了由组织部采取定期不定期的抽查，事实证明，这种方法适合我县实际。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 w:cs="Arial"/>
          <w:color w:val="000000" w:themeColor="text1"/>
          <w:sz w:val="32"/>
          <w:szCs w:val="32"/>
          <w:lang w:eastAsia="zh-CN"/>
        </w:rPr>
        <w:t>本项目</w:t>
      </w:r>
      <w:r>
        <w:rPr>
          <w:rFonts w:hint="eastAsia" w:ascii="仿宋" w:hAnsi="仿宋" w:eastAsia="仿宋" w:cs="Arial"/>
          <w:color w:val="000000" w:themeColor="text1"/>
          <w:sz w:val="32"/>
          <w:szCs w:val="32"/>
        </w:rPr>
        <w:t>资金发放，采取的方法</w:t>
      </w:r>
      <w:r>
        <w:rPr>
          <w:rFonts w:hint="eastAsia" w:ascii="仿宋" w:hAnsi="仿宋" w:eastAsia="仿宋" w:cs="Arial"/>
          <w:color w:val="000000" w:themeColor="text1"/>
          <w:sz w:val="32"/>
          <w:szCs w:val="32"/>
          <w:lang w:eastAsia="zh-CN"/>
        </w:rPr>
        <w:t>规范</w:t>
      </w:r>
      <w:r>
        <w:rPr>
          <w:rFonts w:hint="eastAsia" w:ascii="仿宋" w:hAnsi="仿宋" w:eastAsia="仿宋" w:cs="Arial"/>
          <w:color w:val="000000" w:themeColor="text1"/>
          <w:sz w:val="32"/>
          <w:szCs w:val="32"/>
        </w:rPr>
        <w:t>，根据发放后不定期的调查，证明，各受益人对此次资金发放的方式和效率均表示满意。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仿宋" w:hAnsi="仿宋" w:eastAsia="仿宋"/>
          <w:color w:val="FF000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Style w:val="18"/>
          <w:rFonts w:ascii="仿宋" w:hAnsi="仿宋" w:eastAsia="仿宋"/>
          <w:color w:val="FF0000"/>
          <w:spacing w:val="-4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3C7963B"/>
    <w:multiLevelType w:val="singleLevel"/>
    <w:tmpl w:val="A3C7963B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1134A"/>
    <w:rsid w:val="00365250"/>
    <w:rsid w:val="0036624C"/>
    <w:rsid w:val="00385849"/>
    <w:rsid w:val="003D7A9B"/>
    <w:rsid w:val="003F1A98"/>
    <w:rsid w:val="004B2869"/>
    <w:rsid w:val="0050167F"/>
    <w:rsid w:val="00514506"/>
    <w:rsid w:val="005162F1"/>
    <w:rsid w:val="00516E80"/>
    <w:rsid w:val="00535153"/>
    <w:rsid w:val="00567CF0"/>
    <w:rsid w:val="00575CFE"/>
    <w:rsid w:val="00583AFC"/>
    <w:rsid w:val="00592D09"/>
    <w:rsid w:val="00664544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882985"/>
    <w:rsid w:val="009065F4"/>
    <w:rsid w:val="00922CB9"/>
    <w:rsid w:val="009350F7"/>
    <w:rsid w:val="00952D3A"/>
    <w:rsid w:val="009B526F"/>
    <w:rsid w:val="009C1AFD"/>
    <w:rsid w:val="009D4BFB"/>
    <w:rsid w:val="00A26421"/>
    <w:rsid w:val="00A4293B"/>
    <w:rsid w:val="00A83BD5"/>
    <w:rsid w:val="00A84048"/>
    <w:rsid w:val="00A977DF"/>
    <w:rsid w:val="00AE6A23"/>
    <w:rsid w:val="00B06CA5"/>
    <w:rsid w:val="00B13FCF"/>
    <w:rsid w:val="00B41F61"/>
    <w:rsid w:val="00B464C5"/>
    <w:rsid w:val="00B55332"/>
    <w:rsid w:val="00B86E8C"/>
    <w:rsid w:val="00BE1A00"/>
    <w:rsid w:val="00C11AE7"/>
    <w:rsid w:val="00C22CF0"/>
    <w:rsid w:val="00C56C72"/>
    <w:rsid w:val="00CA6457"/>
    <w:rsid w:val="00CC4442"/>
    <w:rsid w:val="00CC6E4D"/>
    <w:rsid w:val="00D00254"/>
    <w:rsid w:val="00D17F2E"/>
    <w:rsid w:val="00D46194"/>
    <w:rsid w:val="00E01293"/>
    <w:rsid w:val="00E027D1"/>
    <w:rsid w:val="00E769FE"/>
    <w:rsid w:val="00EA2CBE"/>
    <w:rsid w:val="00EF3FFA"/>
    <w:rsid w:val="00F32FEE"/>
    <w:rsid w:val="00F53E69"/>
    <w:rsid w:val="00FB1660"/>
    <w:rsid w:val="0AB56CE2"/>
    <w:rsid w:val="0EB107EC"/>
    <w:rsid w:val="21454B50"/>
    <w:rsid w:val="275833BE"/>
    <w:rsid w:val="2AE6331D"/>
    <w:rsid w:val="2DD718C5"/>
    <w:rsid w:val="30E87AD4"/>
    <w:rsid w:val="31BE35BC"/>
    <w:rsid w:val="397F4FE8"/>
    <w:rsid w:val="4EFD6A38"/>
    <w:rsid w:val="53490336"/>
    <w:rsid w:val="5A7F02EA"/>
    <w:rsid w:val="79DD33C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unhideWhenUsed/>
    <w:qFormat/>
    <w:uiPriority w:val="1"/>
  </w:style>
  <w:style w:type="table" w:default="1" w:styleId="2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2">
    <w:name w:val="无间隔1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3">
    <w:name w:val="列出段落1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4">
    <w:name w:val="引用1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customStyle="1" w:styleId="36">
    <w:name w:val="明显引用1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7"/>
    <w:qFormat/>
    <w:uiPriority w:val="32"/>
    <w:rPr>
      <w:b/>
      <w:sz w:val="24"/>
      <w:u w:val="single"/>
    </w:rPr>
  </w:style>
  <w:style w:type="character" w:customStyle="1" w:styleId="42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character" w:customStyle="1" w:styleId="49">
    <w:name w:val="font21"/>
    <w:basedOn w:val="17"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50">
    <w:name w:val="font01"/>
    <w:basedOn w:val="17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51">
    <w:name w:val="font11"/>
    <w:basedOn w:val="17"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2D060B-CEBB-44A6-B0EA-701187C6A5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228</Words>
  <Characters>1300</Characters>
  <Lines>10</Lines>
  <Paragraphs>3</Paragraphs>
  <TotalTime>0</TotalTime>
  <ScaleCrop>false</ScaleCrop>
  <LinksUpToDate>false</LinksUpToDate>
  <CharactersWithSpaces>1525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2019-09-26T10:09:36Z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